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spacing w:before="223"/>
        <w:ind w:left="0" w:right="177" w:firstLine="0"/>
        <w:jc w:val="center"/>
        <w:rPr>
          <w:rFonts w:ascii="PMingLiU" w:eastAsia="PMingLiU" w:hint="eastAsia"/>
          <w:sz w:val="40"/>
        </w:rPr>
      </w:pPr>
      <w:r>
        <w:rPr>
          <w:rFonts w:ascii="PMingLiU" w:eastAsia="PMingLiU" w:hint="eastAsia"/>
          <w:sz w:val="40"/>
        </w:rPr>
        <w:t>汽车零部件再制造规范管理暂行办法</w:t>
      </w:r>
    </w:p>
    <w:p>
      <w:pPr>
        <w:pStyle w:val="BodyText"/>
        <w:spacing w:before="6"/>
        <w:ind w:left="0"/>
        <w:rPr>
          <w:rFonts w:ascii="PMingLiU"/>
          <w:sz w:val="51"/>
        </w:rPr>
      </w:pPr>
    </w:p>
    <w:p>
      <w:pPr>
        <w:pStyle w:val="BodyText"/>
        <w:tabs>
          <w:tab w:pos="1199" w:val="left" w:leader="none"/>
        </w:tabs>
        <w:ind w:left="0" w:right="205"/>
        <w:jc w:val="center"/>
        <w:rPr>
          <w:rFonts w:ascii="PMingLiU" w:eastAsia="PMingLiU" w:hint="eastAsia"/>
        </w:rPr>
      </w:pPr>
      <w:r>
        <w:rPr>
          <w:rFonts w:ascii="PMingLiU" w:eastAsia="PMingLiU" w:hint="eastAsia"/>
        </w:rPr>
        <w:t>第一章</w:t>
        <w:tab/>
        <w:t>总</w:t>
      </w:r>
      <w:r>
        <w:rPr>
          <w:rFonts w:ascii="PMingLiU" w:eastAsia="PMingLiU" w:hint="eastAsia"/>
          <w:spacing w:val="69"/>
        </w:rPr>
        <w:t> </w:t>
      </w:r>
      <w:r>
        <w:rPr>
          <w:rFonts w:ascii="PMingLiU" w:eastAsia="PMingLiU" w:hint="eastAsia"/>
        </w:rPr>
        <w:t>则</w:t>
      </w:r>
    </w:p>
    <w:p>
      <w:pPr>
        <w:pStyle w:val="BodyText"/>
        <w:ind w:left="0"/>
        <w:rPr>
          <w:rFonts w:ascii="PMingLiU"/>
          <w:sz w:val="34"/>
        </w:rPr>
      </w:pPr>
    </w:p>
    <w:p>
      <w:pPr>
        <w:pStyle w:val="BodyText"/>
        <w:spacing w:line="352" w:lineRule="auto" w:before="281"/>
        <w:ind w:right="117" w:firstLine="600"/>
        <w:jc w:val="both"/>
      </w:pPr>
      <w:r>
        <w:rPr>
          <w:rFonts w:ascii="PMingLiU" w:eastAsia="PMingLiU" w:hint="eastAsia"/>
          <w:spacing w:val="13"/>
        </w:rPr>
        <w:t>第一条  </w:t>
      </w:r>
      <w:r>
        <w:rPr>
          <w:spacing w:val="-2"/>
        </w:rPr>
        <w:t>为规范汽车零部件再制造行为和市场秩序，保障再制</w:t>
      </w:r>
      <w:r>
        <w:rPr>
          <w:spacing w:val="-6"/>
        </w:rPr>
        <w:t>造产品质量，推动再制造产业规范化发展，根据《中华人民共和国</w:t>
      </w:r>
      <w:r>
        <w:rPr>
          <w:spacing w:val="-15"/>
        </w:rPr>
        <w:t>循环经济促进法》、《中华人民共和国报废机动车回收管理办法》、</w:t>
      </w:r>
    </w:p>
    <w:p>
      <w:pPr>
        <w:pStyle w:val="BodyText"/>
        <w:spacing w:before="17"/>
      </w:pPr>
      <w:r>
        <w:rPr/>
        <w:t>《报废机动车回收管理办法实施细则》制定本办法。</w:t>
      </w:r>
    </w:p>
    <w:p>
      <w:pPr>
        <w:pStyle w:val="BodyText"/>
        <w:spacing w:line="352" w:lineRule="auto" w:before="204"/>
        <w:ind w:right="295" w:firstLine="600"/>
        <w:jc w:val="both"/>
      </w:pPr>
      <w:r>
        <w:rPr>
          <w:rFonts w:ascii="PMingLiU" w:eastAsia="PMingLiU" w:hint="eastAsia"/>
          <w:spacing w:val="9"/>
        </w:rPr>
        <w:t>第二条 </w:t>
      </w:r>
      <w:r>
        <w:rPr>
          <w:spacing w:val="8"/>
        </w:rPr>
        <w:t>本办法所称再制造是指对功能性损坏或技术性淘汰</w:t>
      </w:r>
      <w:r>
        <w:rPr>
          <w:spacing w:val="-2"/>
        </w:rPr>
        <w:t>等原因不再使用的旧汽车零部件，进行专业化修复或升级改造，使</w:t>
      </w:r>
      <w:r>
        <w:rPr/>
        <w:t>其质量特性和安全环保性能不低于原型新品的过程。</w:t>
      </w:r>
    </w:p>
    <w:p>
      <w:pPr>
        <w:pStyle w:val="BodyText"/>
        <w:spacing w:line="336" w:lineRule="auto" w:before="17"/>
        <w:ind w:right="295" w:firstLine="600"/>
        <w:jc w:val="both"/>
      </w:pPr>
      <w:r>
        <w:rPr>
          <w:rFonts w:ascii="PMingLiU" w:eastAsia="PMingLiU" w:hint="eastAsia"/>
        </w:rPr>
        <w:t>第三条 </w:t>
      </w:r>
      <w:r>
        <w:rPr/>
        <w:t>本办法适用于中华人民共和国境内从事汽车零部件再制造的企业及其他相关市场主体的再制造相关行为的管理。</w:t>
      </w:r>
    </w:p>
    <w:p>
      <w:pPr>
        <w:pStyle w:val="BodyText"/>
        <w:spacing w:line="352" w:lineRule="auto" w:before="51"/>
        <w:ind w:right="292" w:firstLine="600"/>
        <w:jc w:val="both"/>
      </w:pPr>
      <w:r>
        <w:rPr>
          <w:rFonts w:ascii="PMingLiU" w:eastAsia="PMingLiU" w:hint="eastAsia"/>
          <w:spacing w:val="16"/>
        </w:rPr>
        <w:t>第四条 </w:t>
      </w:r>
      <w:r>
        <w:rPr>
          <w:spacing w:val="-4"/>
        </w:rPr>
        <w:t>国务院发展改革、工业和信息化、生态环境、交通运</w:t>
      </w:r>
      <w:r>
        <w:rPr>
          <w:spacing w:val="-7"/>
        </w:rPr>
        <w:t>输、商务、海关、市场监管、银保监等部门在各自的职责范围内负</w:t>
      </w:r>
      <w:r>
        <w:rPr/>
        <w:t>责汽车零部件再制造相关监督管理工作。</w:t>
      </w:r>
    </w:p>
    <w:p>
      <w:pPr>
        <w:pStyle w:val="BodyText"/>
        <w:spacing w:before="2"/>
        <w:ind w:left="0"/>
        <w:rPr>
          <w:sz w:val="47"/>
        </w:rPr>
      </w:pPr>
    </w:p>
    <w:p>
      <w:pPr>
        <w:pStyle w:val="BodyText"/>
        <w:tabs>
          <w:tab w:pos="1199" w:val="left" w:leader="none"/>
        </w:tabs>
        <w:spacing w:before="1"/>
        <w:ind w:left="0" w:right="205"/>
        <w:jc w:val="center"/>
        <w:rPr>
          <w:rFonts w:ascii="PMingLiU" w:eastAsia="PMingLiU" w:hint="eastAsia"/>
        </w:rPr>
      </w:pPr>
      <w:r>
        <w:rPr>
          <w:rFonts w:ascii="PMingLiU" w:eastAsia="PMingLiU" w:hint="eastAsia"/>
        </w:rPr>
        <w:t>第二章</w:t>
        <w:tab/>
        <w:t>企业规范条件</w:t>
      </w:r>
    </w:p>
    <w:p>
      <w:pPr>
        <w:pStyle w:val="BodyText"/>
        <w:ind w:left="0"/>
        <w:rPr>
          <w:rFonts w:ascii="PMingLiU"/>
          <w:sz w:val="34"/>
        </w:rPr>
      </w:pPr>
    </w:p>
    <w:p>
      <w:pPr>
        <w:pStyle w:val="BodyText"/>
        <w:tabs>
          <w:tab w:pos="1915" w:val="left" w:leader="none"/>
        </w:tabs>
        <w:spacing w:line="336" w:lineRule="auto" w:before="281"/>
        <w:ind w:right="295" w:firstLine="600"/>
      </w:pPr>
      <w:r>
        <w:rPr>
          <w:rFonts w:ascii="PMingLiU" w:eastAsia="PMingLiU" w:hint="eastAsia"/>
        </w:rPr>
        <w:t>第五条</w:t>
        <w:tab/>
      </w:r>
      <w:r>
        <w:rPr/>
        <w:t>国家对从事汽车零部件再制造的企</w:t>
      </w:r>
      <w:r>
        <w:rPr>
          <w:spacing w:val="-27"/>
        </w:rPr>
        <w:t>业</w:t>
      </w:r>
      <w:r>
        <w:rPr/>
        <w:t>（以下简称再</w:t>
      </w:r>
      <w:r>
        <w:rPr>
          <w:spacing w:val="-17"/>
        </w:rPr>
        <w:t>制</w:t>
      </w:r>
      <w:r>
        <w:rPr/>
        <w:t>造企业）实行规范管理，再制造企业应当符合下列条件：</w:t>
      </w:r>
    </w:p>
    <w:p>
      <w:pPr>
        <w:pStyle w:val="BodyText"/>
        <w:spacing w:before="50"/>
        <w:ind w:left="715"/>
      </w:pPr>
      <w:r>
        <w:rPr/>
        <w:t>（一）具备拆解、清洗、制造、装配、产品质量检测等方面的</w:t>
      </w:r>
    </w:p>
    <w:p>
      <w:pPr>
        <w:spacing w:after="0"/>
        <w:sectPr>
          <w:footerReference w:type="default" r:id="rId5"/>
          <w:type w:val="continuous"/>
          <w:pgSz w:w="11910" w:h="16840"/>
          <w:pgMar w:footer="990" w:top="1580" w:bottom="1180" w:left="1500" w:right="1320"/>
          <w:pgNumType w:start="1"/>
        </w:sectPr>
      </w:pPr>
    </w:p>
    <w:p>
      <w:pPr>
        <w:pStyle w:val="BodyText"/>
        <w:ind w:left="0"/>
        <w:rPr>
          <w:sz w:val="20"/>
        </w:rPr>
      </w:pPr>
    </w:p>
    <w:p>
      <w:pPr>
        <w:pStyle w:val="BodyText"/>
        <w:spacing w:before="4"/>
        <w:ind w:left="0"/>
        <w:rPr>
          <w:sz w:val="18"/>
        </w:rPr>
      </w:pPr>
    </w:p>
    <w:p>
      <w:pPr>
        <w:pStyle w:val="BodyText"/>
        <w:spacing w:before="65"/>
      </w:pPr>
      <w:r>
        <w:rPr/>
        <w:t>技术装备和能力；</w:t>
      </w:r>
    </w:p>
    <w:p>
      <w:pPr>
        <w:pStyle w:val="BodyText"/>
        <w:spacing w:line="367" w:lineRule="auto" w:before="203"/>
        <w:ind w:right="295" w:firstLine="600"/>
      </w:pPr>
      <w:r>
        <w:rPr/>
        <w:t>（二）具备检测鉴定旧汽车零部件性能指标的技术手段和能力；</w:t>
      </w:r>
    </w:p>
    <w:p>
      <w:pPr>
        <w:pStyle w:val="BodyText"/>
        <w:spacing w:line="367" w:lineRule="auto"/>
        <w:ind w:right="245" w:firstLine="600"/>
      </w:pPr>
      <w:r>
        <w:rPr/>
        <w:t>（三）具有相应的污染防治设施和能力，并满足相关废物处理等环保要求，污染物实现达标排放；</w:t>
      </w:r>
    </w:p>
    <w:p>
      <w:pPr>
        <w:pStyle w:val="BodyText"/>
        <w:spacing w:line="367" w:lineRule="auto"/>
        <w:ind w:right="295" w:firstLine="600"/>
      </w:pPr>
      <w:r>
        <w:rPr/>
        <w:t>（四）建立并执行产品再制造的相关技术质量标准和生产规范；</w:t>
      </w:r>
    </w:p>
    <w:p>
      <w:pPr>
        <w:pStyle w:val="BodyText"/>
        <w:spacing w:line="367" w:lineRule="auto"/>
        <w:ind w:right="268" w:firstLine="600"/>
      </w:pPr>
      <w:r>
        <w:rPr/>
        <w:t>（五）向社会进行公开承诺，包括产品质量性能、售后质保、标识使用等；</w:t>
      </w:r>
    </w:p>
    <w:p>
      <w:pPr>
        <w:pStyle w:val="BodyText"/>
        <w:ind w:left="715"/>
      </w:pPr>
      <w:r>
        <w:rPr/>
        <w:t>（六）开展再制造的产品类型应符合国家相关法规要求；</w:t>
      </w:r>
    </w:p>
    <w:p>
      <w:pPr>
        <w:pStyle w:val="BodyText"/>
        <w:spacing w:before="203"/>
        <w:ind w:left="715"/>
      </w:pPr>
      <w:r>
        <w:rPr/>
        <w:t>（七）遵循国家法律法规及有关主管部门规定的其他条件。</w:t>
      </w:r>
    </w:p>
    <w:p>
      <w:pPr>
        <w:pStyle w:val="BodyText"/>
        <w:tabs>
          <w:tab w:pos="1915" w:val="left" w:leader="none"/>
        </w:tabs>
        <w:spacing w:line="357" w:lineRule="auto" w:before="204"/>
        <w:ind w:right="145" w:firstLine="600"/>
      </w:pPr>
      <w:r>
        <w:rPr>
          <w:rFonts w:ascii="PMingLiU" w:eastAsia="PMingLiU" w:hint="eastAsia"/>
        </w:rPr>
        <w:t>第六条</w:t>
        <w:tab/>
      </w:r>
      <w:r>
        <w:rPr/>
        <w:t>国家鼓励现有再制造企业提质升级</w:t>
      </w:r>
      <w:r>
        <w:rPr>
          <w:spacing w:val="-12"/>
        </w:rPr>
        <w:t>、</w:t>
      </w:r>
      <w:r>
        <w:rPr/>
        <w:t>集聚发展</w:t>
      </w:r>
      <w:r>
        <w:rPr>
          <w:spacing w:val="-15"/>
        </w:rPr>
        <w:t>，</w:t>
      </w:r>
      <w:r>
        <w:rPr/>
        <w:t>提升产业化</w:t>
      </w:r>
      <w:r>
        <w:rPr>
          <w:spacing w:val="-12"/>
        </w:rPr>
        <w:t>、</w:t>
      </w:r>
      <w:r>
        <w:rPr/>
        <w:t>规范化水平</w:t>
      </w:r>
      <w:r>
        <w:rPr>
          <w:spacing w:val="-15"/>
        </w:rPr>
        <w:t>。</w:t>
      </w:r>
      <w:r>
        <w:rPr/>
        <w:t>再制造企业应积极采用国际先进质量管理标准</w:t>
      </w:r>
      <w:r>
        <w:rPr>
          <w:spacing w:val="-87"/>
        </w:rPr>
        <w:t>，</w:t>
      </w:r>
      <w:r>
        <w:rPr/>
        <w:t>提升管理水平</w:t>
      </w:r>
      <w:r>
        <w:rPr>
          <w:spacing w:val="-89"/>
        </w:rPr>
        <w:t>。</w:t>
      </w:r>
      <w:r>
        <w:rPr/>
        <w:t>鼓励再制造企业开展再制造质量管理体系认证</w:t>
      </w:r>
      <w:r>
        <w:rPr>
          <w:spacing w:val="-18"/>
        </w:rPr>
        <w:t>。</w:t>
      </w:r>
      <w:r>
        <w:rPr/>
        <w:t>行业协会应当建立行业自律管理制度，加强行业自律管理。</w:t>
      </w:r>
    </w:p>
    <w:p>
      <w:pPr>
        <w:pStyle w:val="BodyText"/>
        <w:spacing w:before="7"/>
        <w:ind w:left="0"/>
        <w:rPr>
          <w:sz w:val="46"/>
        </w:rPr>
      </w:pPr>
    </w:p>
    <w:p>
      <w:pPr>
        <w:pStyle w:val="BodyText"/>
        <w:tabs>
          <w:tab w:pos="1199" w:val="left" w:leader="none"/>
        </w:tabs>
        <w:ind w:left="0" w:right="205"/>
        <w:jc w:val="center"/>
        <w:rPr>
          <w:rFonts w:ascii="PMingLiU" w:eastAsia="PMingLiU" w:hint="eastAsia"/>
        </w:rPr>
      </w:pPr>
      <w:r>
        <w:rPr>
          <w:rFonts w:ascii="PMingLiU" w:eastAsia="PMingLiU" w:hint="eastAsia"/>
        </w:rPr>
        <w:t>第三章</w:t>
        <w:tab/>
        <w:t>旧件回收管理</w:t>
      </w:r>
    </w:p>
    <w:p>
      <w:pPr>
        <w:pStyle w:val="BodyText"/>
        <w:ind w:left="0"/>
        <w:rPr>
          <w:rFonts w:ascii="PMingLiU"/>
          <w:sz w:val="34"/>
        </w:rPr>
      </w:pPr>
    </w:p>
    <w:p>
      <w:pPr>
        <w:pStyle w:val="BodyText"/>
        <w:spacing w:line="357" w:lineRule="auto" w:before="281"/>
        <w:ind w:right="295" w:firstLine="600"/>
        <w:jc w:val="both"/>
      </w:pPr>
      <w:r>
        <w:rPr>
          <w:rFonts w:ascii="PMingLiU" w:eastAsia="PMingLiU" w:hint="eastAsia"/>
          <w:spacing w:val="9"/>
        </w:rPr>
        <w:t>第七条 </w:t>
      </w:r>
      <w:r>
        <w:rPr>
          <w:spacing w:val="8"/>
        </w:rPr>
        <w:t>再制造企业应当从具备资质的报废机动车回收拆解</w:t>
      </w:r>
      <w:r>
        <w:rPr>
          <w:spacing w:val="-2"/>
        </w:rPr>
        <w:t>企业</w:t>
      </w:r>
      <w:r>
        <w:rPr/>
        <w:t>（以下简称回收拆解企业</w:t>
      </w:r>
      <w:r>
        <w:rPr>
          <w:spacing w:val="-15"/>
        </w:rPr>
        <w:t>）</w:t>
      </w:r>
      <w:r>
        <w:rPr>
          <w:spacing w:val="-2"/>
        </w:rPr>
        <w:t>以及其他合法合规的渠道回收旧汽车零部件</w:t>
      </w:r>
      <w:r>
        <w:rPr/>
        <w:t>（以下简称旧件</w:t>
      </w:r>
      <w:r>
        <w:rPr>
          <w:spacing w:val="-10"/>
        </w:rPr>
        <w:t>）</w:t>
      </w:r>
      <w:r>
        <w:rPr>
          <w:spacing w:val="-3"/>
        </w:rPr>
        <w:t>用于再制造。鼓励汽车整车生产企业通</w:t>
      </w:r>
      <w:r>
        <w:rPr/>
        <w:t>过售后服务体系回收旧件用于再制造。</w:t>
      </w:r>
    </w:p>
    <w:p>
      <w:pPr>
        <w:spacing w:after="0" w:line="357" w:lineRule="auto"/>
        <w:jc w:val="both"/>
        <w:sectPr>
          <w:pgSz w:w="11910" w:h="16840"/>
          <w:pgMar w:header="0" w:footer="990" w:top="1580" w:bottom="1180" w:left="1500" w:right="1320"/>
        </w:sectPr>
      </w:pPr>
    </w:p>
    <w:p>
      <w:pPr>
        <w:pStyle w:val="BodyText"/>
        <w:ind w:left="0"/>
        <w:rPr>
          <w:sz w:val="20"/>
        </w:rPr>
      </w:pPr>
    </w:p>
    <w:p>
      <w:pPr>
        <w:pStyle w:val="BodyText"/>
        <w:spacing w:before="12"/>
        <w:ind w:left="0"/>
        <w:rPr>
          <w:sz w:val="17"/>
        </w:rPr>
      </w:pPr>
    </w:p>
    <w:p>
      <w:pPr>
        <w:pStyle w:val="BodyText"/>
        <w:spacing w:line="352" w:lineRule="auto" w:before="69"/>
        <w:ind w:right="295" w:firstLine="600"/>
        <w:jc w:val="both"/>
      </w:pPr>
      <w:r>
        <w:rPr>
          <w:rFonts w:ascii="PMingLiU" w:eastAsia="PMingLiU" w:hint="eastAsia"/>
          <w:spacing w:val="16"/>
        </w:rPr>
        <w:t>第八条 </w:t>
      </w:r>
      <w:r>
        <w:rPr>
          <w:spacing w:val="-3"/>
        </w:rPr>
        <w:t>再制造企业应当制定旧件回收标准，确保回收旧件具</w:t>
      </w:r>
      <w:r>
        <w:rPr>
          <w:spacing w:val="-4"/>
        </w:rPr>
        <w:t>备再制造条件，应当列明本企业实际具备的可鉴定旧件清单、可再</w:t>
      </w:r>
      <w:r>
        <w:rPr/>
        <w:t>制造零部件清单。</w:t>
      </w:r>
    </w:p>
    <w:p>
      <w:pPr>
        <w:pStyle w:val="BodyText"/>
        <w:spacing w:line="367" w:lineRule="auto" w:before="18"/>
        <w:ind w:right="245" w:firstLine="600"/>
      </w:pPr>
      <w:r>
        <w:rPr/>
        <w:t>再制造企业应明确拆解的旧件和更新件的进货检验要求，明确其拆解旧件的检验方法和规程，并具备相应检测手段。</w:t>
      </w:r>
    </w:p>
    <w:p>
      <w:pPr>
        <w:pStyle w:val="BodyText"/>
        <w:spacing w:line="367" w:lineRule="auto"/>
        <w:ind w:right="245" w:firstLine="600"/>
      </w:pPr>
      <w:r>
        <w:rPr/>
        <w:t>鼓励再制造企业在旧件回收标准、进货检验要求等方面向报废机动车回收拆解企业提供技术支持和指导。</w:t>
      </w:r>
    </w:p>
    <w:p>
      <w:pPr>
        <w:pStyle w:val="BodyText"/>
        <w:spacing w:line="360" w:lineRule="auto"/>
        <w:ind w:right="292" w:firstLine="600"/>
        <w:jc w:val="both"/>
      </w:pPr>
      <w:r>
        <w:rPr>
          <w:rFonts w:ascii="PMingLiU" w:hAnsi="PMingLiU" w:eastAsia="PMingLiU" w:hint="eastAsia"/>
          <w:spacing w:val="16"/>
        </w:rPr>
        <w:t>第九条 </w:t>
      </w:r>
      <w:r>
        <w:rPr>
          <w:spacing w:val="-3"/>
        </w:rPr>
        <w:t>向具备资质的回收拆解企业收购报废汽车发动机、方</w:t>
      </w:r>
      <w:r>
        <w:rPr>
          <w:spacing w:val="-4"/>
        </w:rPr>
        <w:t>向机、变速器、前后桥、车架</w:t>
      </w:r>
      <w:r>
        <w:rPr/>
        <w:t>（</w:t>
      </w:r>
      <w:r>
        <w:rPr>
          <w:spacing w:val="-2"/>
        </w:rPr>
        <w:t>以下统称“五大总成”</w:t>
      </w:r>
      <w:r>
        <w:rPr>
          <w:spacing w:val="-4"/>
        </w:rPr>
        <w:t>）的再制造</w:t>
      </w:r>
      <w:r>
        <w:rPr>
          <w:spacing w:val="-5"/>
        </w:rPr>
        <w:t>企业，回收的种类应与本企业再制造零部件类型相一致。不得回收</w:t>
      </w:r>
      <w:r>
        <w:rPr>
          <w:spacing w:val="-4"/>
        </w:rPr>
        <w:t>尾气后处理装置进行再制造，回收排放控制关键部件进行再制造的</w:t>
      </w:r>
      <w:r>
        <w:rPr/>
        <w:t>应符合国家排放控制标准要求。</w:t>
      </w:r>
    </w:p>
    <w:p>
      <w:pPr>
        <w:pStyle w:val="BodyText"/>
        <w:spacing w:line="367" w:lineRule="auto" w:before="4"/>
        <w:ind w:right="295" w:firstLine="600"/>
        <w:jc w:val="both"/>
      </w:pPr>
      <w:r>
        <w:rPr>
          <w:spacing w:val="-3"/>
        </w:rPr>
        <w:t>再制造企业应当将收购的报废汽车“五大总成”用于本企业的</w:t>
      </w:r>
      <w:r>
        <w:rPr>
          <w:spacing w:val="-5"/>
        </w:rPr>
        <w:t>再制造；未用于本企业再制造的部分，应作为废材料交售给冶炼或</w:t>
      </w:r>
      <w:r>
        <w:rPr/>
        <w:t>破碎企业。</w:t>
      </w:r>
    </w:p>
    <w:p>
      <w:pPr>
        <w:pStyle w:val="BodyText"/>
        <w:spacing w:line="367" w:lineRule="auto"/>
        <w:ind w:right="245" w:firstLine="600"/>
      </w:pPr>
      <w:r>
        <w:rPr/>
        <w:t>国家鼓励回收拆解企业将报废汽车“五大总成”交售给通过再制造质量管理体系认证的再制造企业。</w:t>
      </w:r>
    </w:p>
    <w:p>
      <w:pPr>
        <w:pStyle w:val="BodyText"/>
        <w:spacing w:line="357" w:lineRule="auto"/>
        <w:ind w:right="292" w:firstLine="600"/>
        <w:jc w:val="both"/>
      </w:pPr>
      <w:r>
        <w:rPr>
          <w:rFonts w:ascii="PMingLiU" w:eastAsia="PMingLiU" w:hint="eastAsia"/>
          <w:spacing w:val="16"/>
        </w:rPr>
        <w:t>第十条 </w:t>
      </w:r>
      <w:r>
        <w:rPr>
          <w:spacing w:val="-3"/>
        </w:rPr>
        <w:t>再制造企业应当遵守环境保护法律、法规和强制性标</w:t>
      </w:r>
      <w:r>
        <w:rPr>
          <w:spacing w:val="-5"/>
        </w:rPr>
        <w:t>准，建立固体废物管理台账，如实记录再制造过程中产生废物的种</w:t>
      </w:r>
      <w:r>
        <w:rPr>
          <w:spacing w:val="-6"/>
        </w:rPr>
        <w:t>类、数量、流向、贮存、利用和处置等信息，按照国家有关规定贮</w:t>
      </w:r>
      <w:r>
        <w:rPr/>
        <w:t>存、转移、利用、处置固体废物。</w:t>
      </w:r>
    </w:p>
    <w:p>
      <w:pPr>
        <w:pStyle w:val="BodyText"/>
        <w:spacing w:before="8"/>
        <w:ind w:left="715"/>
        <w:jc w:val="both"/>
      </w:pPr>
      <w:r>
        <w:rPr>
          <w:rFonts w:ascii="PMingLiU" w:eastAsia="PMingLiU" w:hint="eastAsia"/>
        </w:rPr>
        <w:t>第十一条 </w:t>
      </w:r>
      <w:r>
        <w:rPr/>
        <w:t>再制造企业对回收旧件进行再制造过程中，应符合</w:t>
      </w:r>
    </w:p>
    <w:p>
      <w:pPr>
        <w:spacing w:after="0"/>
        <w:jc w:val="both"/>
        <w:sectPr>
          <w:pgSz w:w="11910" w:h="16840"/>
          <w:pgMar w:header="0" w:footer="990" w:top="1580" w:bottom="1180" w:left="1500" w:right="1320"/>
        </w:sectPr>
      </w:pPr>
    </w:p>
    <w:p>
      <w:pPr>
        <w:pStyle w:val="BodyText"/>
        <w:ind w:left="0"/>
        <w:rPr>
          <w:sz w:val="20"/>
        </w:rPr>
      </w:pPr>
    </w:p>
    <w:p>
      <w:pPr>
        <w:pStyle w:val="BodyText"/>
        <w:spacing w:before="4"/>
        <w:ind w:left="0"/>
        <w:rPr>
          <w:sz w:val="18"/>
        </w:rPr>
      </w:pPr>
    </w:p>
    <w:p>
      <w:pPr>
        <w:pStyle w:val="BodyText"/>
        <w:spacing w:before="65"/>
      </w:pPr>
      <w:r>
        <w:rPr/>
        <w:t>相应的国家标准。</w:t>
      </w:r>
    </w:p>
    <w:p>
      <w:pPr>
        <w:pStyle w:val="BodyText"/>
        <w:spacing w:line="352" w:lineRule="auto" w:before="203"/>
        <w:ind w:right="295" w:firstLine="600"/>
        <w:jc w:val="both"/>
      </w:pPr>
      <w:r>
        <w:rPr>
          <w:rFonts w:ascii="PMingLiU" w:eastAsia="PMingLiU" w:hint="eastAsia"/>
          <w:spacing w:val="13"/>
        </w:rPr>
        <w:t>第十二条 </w:t>
      </w:r>
      <w:r>
        <w:rPr>
          <w:spacing w:val="-3"/>
        </w:rPr>
        <w:t>再制造企业在自由贸易试验区、海关特殊监管区域利用境外旧汽车零部件开展再制造后再出口的相关业务，除符合本</w:t>
      </w:r>
      <w:r>
        <w:rPr/>
        <w:t>办法规定外，还应当符合商务、海关等部门的管理要求。</w:t>
      </w:r>
    </w:p>
    <w:p>
      <w:pPr>
        <w:pStyle w:val="BodyText"/>
        <w:spacing w:before="3"/>
        <w:ind w:left="0"/>
        <w:rPr>
          <w:sz w:val="47"/>
        </w:rPr>
      </w:pPr>
    </w:p>
    <w:p>
      <w:pPr>
        <w:pStyle w:val="BodyText"/>
        <w:tabs>
          <w:tab w:pos="1199" w:val="left" w:leader="none"/>
        </w:tabs>
        <w:ind w:left="0" w:right="206"/>
        <w:jc w:val="center"/>
        <w:rPr>
          <w:rFonts w:ascii="PMingLiU" w:eastAsia="PMingLiU" w:hint="eastAsia"/>
        </w:rPr>
      </w:pPr>
      <w:r>
        <w:rPr>
          <w:rFonts w:ascii="PMingLiU" w:eastAsia="PMingLiU" w:hint="eastAsia"/>
        </w:rPr>
        <w:t>第四章</w:t>
        <w:tab/>
        <w:t>再制造生产管理</w:t>
      </w:r>
    </w:p>
    <w:p>
      <w:pPr>
        <w:pStyle w:val="BodyText"/>
        <w:ind w:left="0"/>
        <w:rPr>
          <w:rFonts w:ascii="PMingLiU"/>
          <w:sz w:val="34"/>
        </w:rPr>
      </w:pPr>
    </w:p>
    <w:p>
      <w:pPr>
        <w:pStyle w:val="BodyText"/>
        <w:spacing w:line="360" w:lineRule="auto" w:before="281"/>
        <w:ind w:right="295" w:firstLine="600"/>
        <w:jc w:val="both"/>
      </w:pPr>
      <w:r>
        <w:rPr>
          <w:rFonts w:ascii="PMingLiU" w:eastAsia="PMingLiU" w:hint="eastAsia"/>
          <w:spacing w:val="13"/>
        </w:rPr>
        <w:t>第十三条 </w:t>
      </w:r>
      <w:r>
        <w:rPr>
          <w:spacing w:val="-3"/>
        </w:rPr>
        <w:t>再制造企业是再制造产品的质量责任主体，应制定完善的再制造质量控制及质量检验规章制度，并配置相应人员和设</w:t>
      </w:r>
      <w:r>
        <w:rPr>
          <w:spacing w:val="-5"/>
        </w:rPr>
        <w:t>备等。鼓励再制造企业与原品生产企业建立合作关系，获得原品生</w:t>
      </w:r>
      <w:r>
        <w:rPr>
          <w:spacing w:val="-4"/>
        </w:rPr>
        <w:t>产企业技术支持。鼓励原品生产企业参与开展再制造业务。鼓励再</w:t>
      </w:r>
      <w:r>
        <w:rPr/>
        <w:t>制造企业应用先进适用绿色技术工艺和装备。</w:t>
      </w:r>
    </w:p>
    <w:p>
      <w:pPr>
        <w:pStyle w:val="BodyText"/>
        <w:spacing w:line="357" w:lineRule="auto" w:before="5"/>
        <w:ind w:right="292" w:firstLine="600"/>
        <w:jc w:val="both"/>
      </w:pPr>
      <w:r>
        <w:rPr>
          <w:rFonts w:ascii="PMingLiU" w:eastAsia="PMingLiU" w:hint="eastAsia"/>
          <w:spacing w:val="9"/>
        </w:rPr>
        <w:t>第十四条 </w:t>
      </w:r>
      <w:r>
        <w:rPr>
          <w:spacing w:val="8"/>
        </w:rPr>
        <w:t>再制造企业应当编制再制造全过程检验规程或检</w:t>
      </w:r>
      <w:r>
        <w:rPr>
          <w:spacing w:val="-3"/>
        </w:rPr>
        <w:t>验作业指导书、制定工艺卡片、明确工艺要求和控制方法，供影响</w:t>
      </w:r>
      <w:r>
        <w:rPr>
          <w:spacing w:val="-4"/>
        </w:rPr>
        <w:t>产品质量的操作人员使用。再制造企业应当保证操作人员规范操作</w:t>
      </w:r>
      <w:r>
        <w:rPr/>
        <w:t>并实施全过程监控。</w:t>
      </w:r>
    </w:p>
    <w:p>
      <w:pPr>
        <w:pStyle w:val="BodyText"/>
        <w:spacing w:line="352" w:lineRule="auto" w:before="8"/>
        <w:ind w:right="292" w:firstLine="600"/>
        <w:jc w:val="both"/>
      </w:pPr>
      <w:r>
        <w:rPr>
          <w:rFonts w:ascii="PMingLiU" w:eastAsia="PMingLiU" w:hint="eastAsia"/>
          <w:spacing w:val="13"/>
        </w:rPr>
        <w:t>第十五条 </w:t>
      </w:r>
      <w:r>
        <w:rPr>
          <w:spacing w:val="-3"/>
        </w:rPr>
        <w:t>再制造企业应采用与原型新品同等的标准，对再制造产品进行包括使用性能、安全性、经济性（</w:t>
      </w:r>
      <w:r>
        <w:rPr/>
        <w:t>能量消耗</w:t>
      </w:r>
      <w:r>
        <w:rPr>
          <w:spacing w:val="-8"/>
        </w:rPr>
        <w:t>）</w:t>
      </w:r>
      <w:r>
        <w:rPr>
          <w:spacing w:val="-4"/>
        </w:rPr>
        <w:t>等在内的</w:t>
      </w:r>
      <w:r>
        <w:rPr/>
        <w:t>质量检验。</w:t>
      </w:r>
    </w:p>
    <w:p>
      <w:pPr>
        <w:pStyle w:val="BodyText"/>
        <w:spacing w:line="352" w:lineRule="auto" w:before="18"/>
        <w:ind w:right="290" w:firstLine="600"/>
        <w:jc w:val="both"/>
      </w:pPr>
      <w:r>
        <w:rPr>
          <w:rFonts w:ascii="PMingLiU" w:eastAsia="PMingLiU" w:hint="eastAsia"/>
        </w:rPr>
        <w:t>第十六条 </w:t>
      </w:r>
      <w:r>
        <w:rPr/>
        <w:t>再制造企业应具备适应相关产品再制造的环保设施设备，使用低挥发性有机物（</w:t>
      </w:r>
      <w:r>
        <w:rPr>
          <w:rFonts w:ascii="Times New Roman" w:eastAsia="Times New Roman"/>
        </w:rPr>
        <w:t>VOCs</w:t>
      </w:r>
      <w:r>
        <w:rPr/>
        <w:t>）含量涂料、清洗剂等。鼓励再制造企业通过环境管理体系认证（</w:t>
      </w:r>
      <w:r>
        <w:rPr>
          <w:rFonts w:ascii="Times New Roman" w:eastAsia="Times New Roman"/>
        </w:rPr>
        <w:t>GB/T 24001/ISO 14001</w:t>
      </w:r>
      <w:r>
        <w:rPr/>
        <w:t>）和</w:t>
      </w:r>
    </w:p>
    <w:p>
      <w:pPr>
        <w:spacing w:after="0" w:line="352" w:lineRule="auto"/>
        <w:jc w:val="both"/>
        <w:sectPr>
          <w:pgSz w:w="11910" w:h="16840"/>
          <w:pgMar w:header="0" w:footer="990" w:top="1580" w:bottom="1180" w:left="1500" w:right="1320"/>
        </w:sectPr>
      </w:pPr>
    </w:p>
    <w:p>
      <w:pPr>
        <w:pStyle w:val="BodyText"/>
        <w:ind w:left="0"/>
        <w:rPr>
          <w:sz w:val="20"/>
        </w:rPr>
      </w:pPr>
    </w:p>
    <w:p>
      <w:pPr>
        <w:pStyle w:val="BodyText"/>
        <w:spacing w:before="1"/>
        <w:ind w:left="0"/>
        <w:rPr>
          <w:sz w:val="18"/>
        </w:rPr>
      </w:pPr>
    </w:p>
    <w:p>
      <w:pPr>
        <w:pStyle w:val="BodyText"/>
        <w:spacing w:before="68"/>
      </w:pPr>
      <w:r>
        <w:rPr/>
        <w:t>职业健康安全管理体系认证（</w:t>
      </w:r>
      <w:r>
        <w:rPr>
          <w:rFonts w:ascii="Times New Roman" w:eastAsia="Times New Roman"/>
        </w:rPr>
        <w:t>GB/T 45001/ISO 45001</w:t>
      </w:r>
      <w:r>
        <w:rPr/>
        <w:t>）。</w:t>
      </w:r>
    </w:p>
    <w:p>
      <w:pPr>
        <w:pStyle w:val="BodyText"/>
        <w:ind w:left="0"/>
        <w:rPr>
          <w:sz w:val="34"/>
        </w:rPr>
      </w:pPr>
    </w:p>
    <w:p>
      <w:pPr>
        <w:pStyle w:val="BodyText"/>
        <w:spacing w:before="9"/>
        <w:ind w:left="0"/>
        <w:rPr>
          <w:sz w:val="27"/>
        </w:rPr>
      </w:pPr>
    </w:p>
    <w:p>
      <w:pPr>
        <w:pStyle w:val="BodyText"/>
        <w:tabs>
          <w:tab w:pos="1199" w:val="left" w:leader="none"/>
        </w:tabs>
        <w:spacing w:before="1"/>
        <w:ind w:left="0" w:right="206"/>
        <w:jc w:val="center"/>
        <w:rPr>
          <w:rFonts w:ascii="PMingLiU" w:eastAsia="PMingLiU" w:hint="eastAsia"/>
        </w:rPr>
      </w:pPr>
      <w:r>
        <w:rPr>
          <w:rFonts w:ascii="PMingLiU" w:eastAsia="PMingLiU" w:hint="eastAsia"/>
        </w:rPr>
        <w:t>第五章</w:t>
        <w:tab/>
        <w:t>再制造产品管理</w:t>
      </w:r>
    </w:p>
    <w:p>
      <w:pPr>
        <w:pStyle w:val="BodyText"/>
        <w:ind w:left="0"/>
        <w:rPr>
          <w:rFonts w:ascii="PMingLiU"/>
          <w:sz w:val="34"/>
        </w:rPr>
      </w:pPr>
    </w:p>
    <w:p>
      <w:pPr>
        <w:pStyle w:val="BodyText"/>
        <w:spacing w:line="352" w:lineRule="auto" w:before="281"/>
        <w:ind w:right="292" w:firstLine="600"/>
        <w:jc w:val="both"/>
      </w:pPr>
      <w:r>
        <w:rPr>
          <w:rFonts w:ascii="PMingLiU" w:eastAsia="PMingLiU" w:hint="eastAsia"/>
          <w:spacing w:val="9"/>
        </w:rPr>
        <w:t>第十七条 </w:t>
      </w:r>
      <w:r>
        <w:rPr>
          <w:spacing w:val="8"/>
        </w:rPr>
        <w:t>再制造企业应当保证所生产销售的再制造产品具</w:t>
      </w:r>
      <w:r>
        <w:rPr>
          <w:spacing w:val="-1"/>
        </w:rPr>
        <w:t>备与原型新品同样的质量特性，出厂时进行与原型新品同样的检验</w:t>
      </w:r>
      <w:r>
        <w:rPr/>
        <w:t>检测或认证。</w:t>
      </w:r>
    </w:p>
    <w:p>
      <w:pPr>
        <w:pStyle w:val="BodyText"/>
        <w:spacing w:line="367" w:lineRule="auto" w:before="17"/>
        <w:ind w:right="295" w:firstLine="600"/>
        <w:jc w:val="both"/>
      </w:pPr>
      <w:r>
        <w:rPr>
          <w:spacing w:val="-3"/>
        </w:rPr>
        <w:t>再制造产品的质量应符合原型新品的质量标准，安全标准应不低于国家对机动车零部件原型新品的要求，环保性能应符合国家相</w:t>
      </w:r>
      <w:r>
        <w:rPr/>
        <w:t>关标准要求。</w:t>
      </w:r>
    </w:p>
    <w:p>
      <w:pPr>
        <w:pStyle w:val="BodyText"/>
        <w:spacing w:line="357" w:lineRule="auto"/>
        <w:ind w:right="292" w:firstLine="600"/>
        <w:jc w:val="both"/>
      </w:pPr>
      <w:r>
        <w:rPr>
          <w:rFonts w:ascii="PMingLiU" w:eastAsia="PMingLiU" w:hint="eastAsia"/>
          <w:spacing w:val="9"/>
        </w:rPr>
        <w:t>第十八条 </w:t>
      </w:r>
      <w:r>
        <w:rPr>
          <w:spacing w:val="8"/>
        </w:rPr>
        <w:t>再制造企业应对所生产销售的再制造产品提供不</w:t>
      </w:r>
      <w:r>
        <w:rPr>
          <w:spacing w:val="-2"/>
        </w:rPr>
        <w:t>低于原型新品的质量保证和售后服务，在产品上明示，并通过公众</w:t>
      </w:r>
      <w:r>
        <w:rPr>
          <w:spacing w:val="-4"/>
        </w:rPr>
        <w:t>易于知晓的其他方式公示。鼓励再制造企业通过购买产品质量责任</w:t>
      </w:r>
      <w:r>
        <w:rPr/>
        <w:t>保险等方式为再制造产品提供质量保障。</w:t>
      </w:r>
    </w:p>
    <w:p>
      <w:pPr>
        <w:pStyle w:val="BodyText"/>
        <w:spacing w:line="336" w:lineRule="auto" w:before="8"/>
        <w:ind w:right="292" w:firstLine="600"/>
        <w:jc w:val="both"/>
      </w:pPr>
      <w:r>
        <w:rPr>
          <w:rFonts w:ascii="PMingLiU" w:hAnsi="PMingLiU" w:eastAsia="PMingLiU" w:hint="eastAsia"/>
          <w:spacing w:val="9"/>
        </w:rPr>
        <w:t>第十九条 </w:t>
      </w:r>
      <w:r>
        <w:rPr>
          <w:spacing w:val="8"/>
        </w:rPr>
        <w:t>再制造产品应在显要位置标注再制造企业商标和“再制造产品”标识，并做到永久保持。</w:t>
      </w:r>
    </w:p>
    <w:p>
      <w:pPr>
        <w:pStyle w:val="BodyText"/>
        <w:tabs>
          <w:tab w:pos="1903" w:val="left" w:leader="none"/>
          <w:tab w:pos="2279" w:val="left" w:leader="none"/>
        </w:tabs>
        <w:spacing w:line="357" w:lineRule="auto" w:before="51"/>
        <w:ind w:right="268" w:firstLine="600"/>
        <w:jc w:val="right"/>
      </w:pPr>
      <w:r>
        <w:rPr>
          <w:rFonts w:ascii="PMingLiU" w:hAnsi="PMingLiU" w:eastAsia="PMingLiU" w:hint="eastAsia"/>
          <w:spacing w:val="9"/>
        </w:rPr>
        <w:t>第</w:t>
      </w:r>
      <w:r>
        <w:rPr>
          <w:rFonts w:ascii="PMingLiU" w:hAnsi="PMingLiU" w:eastAsia="PMingLiU" w:hint="eastAsia"/>
          <w:spacing w:val="12"/>
        </w:rPr>
        <w:t>二</w:t>
      </w:r>
      <w:r>
        <w:rPr>
          <w:rFonts w:ascii="PMingLiU" w:hAnsi="PMingLiU" w:eastAsia="PMingLiU" w:hint="eastAsia"/>
          <w:spacing w:val="9"/>
        </w:rPr>
        <w:t>十</w:t>
      </w:r>
      <w:r>
        <w:rPr>
          <w:rFonts w:ascii="PMingLiU" w:hAnsi="PMingLiU" w:eastAsia="PMingLiU" w:hint="eastAsia"/>
        </w:rPr>
        <w:t>条</w:t>
        <w:tab/>
      </w:r>
      <w:r>
        <w:rPr>
          <w:spacing w:val="9"/>
        </w:rPr>
        <w:t>再</w:t>
      </w:r>
      <w:r>
        <w:rPr>
          <w:spacing w:val="12"/>
        </w:rPr>
        <w:t>制</w:t>
      </w:r>
      <w:r>
        <w:rPr>
          <w:spacing w:val="9"/>
        </w:rPr>
        <w:t>造</w:t>
      </w:r>
      <w:r>
        <w:rPr>
          <w:spacing w:val="12"/>
        </w:rPr>
        <w:t>产</w:t>
      </w:r>
      <w:r>
        <w:rPr>
          <w:spacing w:val="9"/>
        </w:rPr>
        <w:t>品包</w:t>
      </w:r>
      <w:r>
        <w:rPr>
          <w:spacing w:val="12"/>
        </w:rPr>
        <w:t>装</w:t>
      </w:r>
      <w:r>
        <w:rPr>
          <w:spacing w:val="9"/>
        </w:rPr>
        <w:t>和</w:t>
      </w:r>
      <w:r>
        <w:rPr>
          <w:spacing w:val="12"/>
        </w:rPr>
        <w:t>产</w:t>
      </w:r>
      <w:r>
        <w:rPr>
          <w:spacing w:val="9"/>
        </w:rPr>
        <w:t>品说</w:t>
      </w:r>
      <w:r>
        <w:rPr>
          <w:spacing w:val="12"/>
        </w:rPr>
        <w:t>明</w:t>
      </w:r>
      <w:r>
        <w:rPr>
          <w:spacing w:val="9"/>
        </w:rPr>
        <w:t>书上</w:t>
      </w:r>
      <w:r>
        <w:rPr>
          <w:spacing w:val="12"/>
        </w:rPr>
        <w:t>应</w:t>
      </w:r>
      <w:r>
        <w:rPr>
          <w:spacing w:val="9"/>
        </w:rPr>
        <w:t>注</w:t>
      </w:r>
      <w:r>
        <w:rPr>
          <w:spacing w:val="12"/>
        </w:rPr>
        <w:t>明</w:t>
      </w:r>
      <w:r>
        <w:rPr>
          <w:spacing w:val="9"/>
        </w:rPr>
        <w:t>再制</w:t>
      </w:r>
      <w:r>
        <w:rPr>
          <w:spacing w:val="12"/>
        </w:rPr>
        <w:t>造</w:t>
      </w:r>
      <w:r>
        <w:rPr/>
        <w:t>商名称</w:t>
      </w:r>
      <w:r>
        <w:rPr>
          <w:spacing w:val="-8"/>
        </w:rPr>
        <w:t>、</w:t>
      </w:r>
      <w:r>
        <w:rPr/>
        <w:t>地</w:t>
      </w:r>
      <w:r>
        <w:rPr>
          <w:spacing w:val="-5"/>
        </w:rPr>
        <w:t>址</w:t>
      </w:r>
      <w:r>
        <w:rPr/>
        <w:t>（委托加工的还需标明受委托再制造生产商信息</w:t>
      </w:r>
      <w:r>
        <w:rPr>
          <w:spacing w:val="-5"/>
        </w:rPr>
        <w:t>）</w:t>
      </w:r>
      <w:r>
        <w:rPr>
          <w:spacing w:val="-8"/>
        </w:rPr>
        <w:t>、</w:t>
      </w:r>
      <w:r>
        <w:rPr/>
        <w:t>生产日期、产品执行标准、“五大总成”溯源代码（如有）等信息</w:t>
      </w:r>
      <w:r>
        <w:rPr>
          <w:spacing w:val="-17"/>
        </w:rPr>
        <w:t>。</w:t>
      </w:r>
      <w:r>
        <w:rPr>
          <w:rFonts w:ascii="PMingLiU" w:hAnsi="PMingLiU" w:eastAsia="PMingLiU" w:hint="eastAsia"/>
        </w:rPr>
        <w:t>第二十一条</w:t>
        <w:tab/>
      </w:r>
      <w:r>
        <w:rPr/>
        <w:t>“汽车零部件再制造产品</w:t>
      </w:r>
      <w:r>
        <w:rPr>
          <w:spacing w:val="-15"/>
        </w:rPr>
        <w:t>”</w:t>
      </w:r>
      <w:r>
        <w:rPr/>
        <w:t>国家标志仅可用于公</w:t>
      </w:r>
    </w:p>
    <w:p>
      <w:pPr>
        <w:pStyle w:val="BodyText"/>
        <w:spacing w:line="341" w:lineRule="exact"/>
        <w:ind w:left="0" w:right="295"/>
        <w:jc w:val="right"/>
      </w:pPr>
      <w:r>
        <w:rPr>
          <w:spacing w:val="-3"/>
        </w:rPr>
        <w:t>益宣传，不得作为再制造企业产品质量保障的证明。“汽车零部件</w:t>
      </w:r>
    </w:p>
    <w:p>
      <w:pPr>
        <w:pStyle w:val="BodyText"/>
        <w:spacing w:before="204"/>
        <w:ind w:left="0" w:right="180"/>
        <w:jc w:val="center"/>
      </w:pPr>
      <w:r>
        <w:rPr>
          <w:spacing w:val="-4"/>
        </w:rPr>
        <w:t>再制造产品”国家标志的图案、尺寸和位置应符合《关于启用并加</w:t>
      </w:r>
    </w:p>
    <w:p>
      <w:pPr>
        <w:spacing w:after="0"/>
        <w:jc w:val="center"/>
        <w:sectPr>
          <w:pgSz w:w="11910" w:h="16840"/>
          <w:pgMar w:header="0" w:footer="990" w:top="1580" w:bottom="1180" w:left="1500" w:right="1320"/>
        </w:sectPr>
      </w:pPr>
    </w:p>
    <w:p>
      <w:pPr>
        <w:pStyle w:val="BodyText"/>
        <w:ind w:left="0"/>
        <w:rPr>
          <w:sz w:val="20"/>
        </w:rPr>
      </w:pPr>
    </w:p>
    <w:p>
      <w:pPr>
        <w:pStyle w:val="BodyText"/>
        <w:spacing w:before="4"/>
        <w:ind w:left="0"/>
        <w:rPr>
          <w:sz w:val="18"/>
        </w:rPr>
      </w:pPr>
    </w:p>
    <w:p>
      <w:pPr>
        <w:pStyle w:val="BodyText"/>
        <w:spacing w:before="65"/>
      </w:pPr>
      <w:r>
        <w:rPr/>
        <w:t>强汽车零部件再制造标志管理与保护的通知》有关要求。</w:t>
      </w:r>
    </w:p>
    <w:p>
      <w:pPr>
        <w:pStyle w:val="BodyText"/>
        <w:tabs>
          <w:tab w:pos="2515" w:val="left" w:leader="none"/>
        </w:tabs>
        <w:spacing w:line="352" w:lineRule="auto" w:before="203"/>
        <w:ind w:right="141" w:firstLine="600"/>
      </w:pPr>
      <w:r>
        <w:rPr>
          <w:rFonts w:ascii="PMingLiU" w:eastAsia="PMingLiU" w:hint="eastAsia"/>
        </w:rPr>
        <w:t>第二十二条</w:t>
        <w:tab/>
      </w:r>
      <w:r>
        <w:rPr/>
        <w:t>再制造企业应采</w:t>
      </w:r>
      <w:r>
        <w:rPr>
          <w:spacing w:val="-27"/>
        </w:rPr>
        <w:t>用</w:t>
      </w:r>
      <w:r>
        <w:rPr/>
        <w:t>《汽车零部件的统一编码与标识</w:t>
      </w:r>
      <w:r>
        <w:rPr>
          <w:spacing w:val="-118"/>
        </w:rPr>
        <w:t>》</w:t>
      </w:r>
      <w:r>
        <w:rPr/>
        <w:t>（</w:t>
      </w:r>
      <w:r>
        <w:rPr>
          <w:rFonts w:ascii="Times New Roman" w:eastAsia="Times New Roman"/>
        </w:rPr>
        <w:t>GB/T</w:t>
      </w:r>
      <w:r>
        <w:rPr>
          <w:rFonts w:ascii="Times New Roman" w:eastAsia="Times New Roman"/>
          <w:spacing w:val="-3"/>
        </w:rPr>
        <w:t> </w:t>
      </w:r>
      <w:r>
        <w:rPr>
          <w:rFonts w:ascii="Times New Roman" w:eastAsia="Times New Roman"/>
          <w:spacing w:val="-11"/>
        </w:rPr>
        <w:t>32007</w:t>
      </w:r>
      <w:r>
        <w:rPr>
          <w:spacing w:val="-11"/>
        </w:rPr>
        <w:t>）</w:t>
      </w:r>
      <w:r>
        <w:rPr/>
        <w:t>国家标准建立再制造产品全生命周期追溯系统</w:t>
      </w:r>
      <w:r>
        <w:rPr>
          <w:spacing w:val="-13"/>
        </w:rPr>
        <w:t>， </w:t>
      </w:r>
      <w:r>
        <w:rPr/>
        <w:t>通过条码、</w:t>
      </w:r>
      <w:r>
        <w:rPr>
          <w:rFonts w:ascii="Times New Roman" w:eastAsia="Times New Roman"/>
        </w:rPr>
        <w:t>RFID</w:t>
      </w:r>
      <w:r>
        <w:rPr>
          <w:rFonts w:ascii="Times New Roman" w:eastAsia="Times New Roman"/>
          <w:spacing w:val="-2"/>
        </w:rPr>
        <w:t> </w:t>
      </w:r>
      <w:r>
        <w:rPr/>
        <w:t>等自动识别方式对再制造零部件进行追溯。</w:t>
      </w:r>
    </w:p>
    <w:p>
      <w:pPr>
        <w:pStyle w:val="BodyText"/>
        <w:spacing w:before="3"/>
        <w:ind w:left="0"/>
        <w:rPr>
          <w:sz w:val="47"/>
        </w:rPr>
      </w:pPr>
    </w:p>
    <w:p>
      <w:pPr>
        <w:pStyle w:val="BodyText"/>
        <w:tabs>
          <w:tab w:pos="1199" w:val="left" w:leader="none"/>
        </w:tabs>
        <w:ind w:left="0" w:right="206"/>
        <w:jc w:val="center"/>
        <w:rPr>
          <w:rFonts w:ascii="PMingLiU" w:eastAsia="PMingLiU" w:hint="eastAsia"/>
        </w:rPr>
      </w:pPr>
      <w:r>
        <w:rPr>
          <w:rFonts w:ascii="PMingLiU" w:eastAsia="PMingLiU" w:hint="eastAsia"/>
        </w:rPr>
        <w:t>第六章</w:t>
        <w:tab/>
        <w:t>再制造市场管理</w:t>
      </w:r>
    </w:p>
    <w:p>
      <w:pPr>
        <w:pStyle w:val="BodyText"/>
        <w:ind w:left="0"/>
        <w:rPr>
          <w:rFonts w:ascii="PMingLiU"/>
          <w:sz w:val="34"/>
        </w:rPr>
      </w:pPr>
    </w:p>
    <w:p>
      <w:pPr>
        <w:pStyle w:val="BodyText"/>
        <w:spacing w:line="352" w:lineRule="auto" w:before="281"/>
        <w:ind w:right="295" w:firstLine="600"/>
        <w:jc w:val="both"/>
      </w:pPr>
      <w:r>
        <w:rPr>
          <w:rFonts w:ascii="PMingLiU" w:eastAsia="PMingLiU" w:hint="eastAsia"/>
          <w:spacing w:val="10"/>
        </w:rPr>
        <w:t>第二十三条 </w:t>
      </w:r>
      <w:r>
        <w:rPr>
          <w:spacing w:val="-4"/>
        </w:rPr>
        <w:t>再制造产品销售企业、汽车维修企业在销售和使</w:t>
      </w:r>
      <w:r>
        <w:rPr>
          <w:spacing w:val="-3"/>
        </w:rPr>
        <w:t>用再制造产品时应向消费者说明产品为再制造产品，并提供再制造</w:t>
      </w:r>
      <w:r>
        <w:rPr/>
        <w:t>产品的质量合格证明、质量保证信息和售后质量保修手册。</w:t>
      </w:r>
    </w:p>
    <w:p>
      <w:pPr>
        <w:pStyle w:val="BodyText"/>
        <w:spacing w:line="367" w:lineRule="auto" w:before="18"/>
        <w:ind w:right="295" w:firstLine="600"/>
        <w:jc w:val="both"/>
      </w:pPr>
      <w:r>
        <w:rPr>
          <w:spacing w:val="8"/>
        </w:rPr>
        <w:t>汽车维修企业应当在向消费者出具的维修费用结算清单中注</w:t>
      </w:r>
      <w:r>
        <w:rPr>
          <w:spacing w:val="-4"/>
        </w:rPr>
        <w:t>明再制造产品使用情况，并上传至交通运输部汽车维修电子健康档</w:t>
      </w:r>
      <w:r>
        <w:rPr>
          <w:spacing w:val="-5"/>
        </w:rPr>
        <w:t>案系统，没有产品质量合格证明、质量保证信息和售后质量保修手</w:t>
      </w:r>
      <w:r>
        <w:rPr/>
        <w:t>册的再制造产品不得用于维修。</w:t>
      </w:r>
    </w:p>
    <w:p>
      <w:pPr>
        <w:pStyle w:val="BodyText"/>
        <w:spacing w:line="336" w:lineRule="auto"/>
        <w:ind w:right="295" w:firstLine="600"/>
        <w:jc w:val="both"/>
      </w:pPr>
      <w:r>
        <w:rPr>
          <w:rFonts w:ascii="PMingLiU" w:eastAsia="PMingLiU" w:hint="eastAsia"/>
        </w:rPr>
        <w:t>第二十四条 </w:t>
      </w:r>
      <w:r>
        <w:rPr/>
        <w:t>鼓励汽车整车生产企业支持再制造产品进入自身售后体系销售。禁止再制造产品进入汽车整车生产环节。</w:t>
      </w:r>
    </w:p>
    <w:p>
      <w:pPr>
        <w:pStyle w:val="BodyText"/>
        <w:spacing w:line="352" w:lineRule="auto" w:before="50"/>
        <w:ind w:right="295" w:firstLine="600"/>
        <w:jc w:val="both"/>
      </w:pPr>
      <w:r>
        <w:rPr>
          <w:rFonts w:ascii="PMingLiU" w:eastAsia="PMingLiU" w:hint="eastAsia"/>
          <w:spacing w:val="9"/>
        </w:rPr>
        <w:t>第二十五条 </w:t>
      </w:r>
      <w:r>
        <w:rPr>
          <w:spacing w:val="8"/>
        </w:rPr>
        <w:t>鼓励保险公司将通过再制造质量管理体系认证</w:t>
      </w:r>
      <w:r>
        <w:rPr>
          <w:spacing w:val="-1"/>
        </w:rPr>
        <w:t>的再制造企业产品纳入维修备件体系。鼓励汽车维修企业采用通过</w:t>
      </w:r>
      <w:r>
        <w:rPr/>
        <w:t>再制造质量管理体系认证企业的再制造产品。</w:t>
      </w:r>
    </w:p>
    <w:p>
      <w:pPr>
        <w:pStyle w:val="BodyText"/>
        <w:spacing w:line="336" w:lineRule="auto" w:before="17"/>
        <w:ind w:right="295" w:firstLine="600"/>
        <w:jc w:val="both"/>
      </w:pPr>
      <w:r>
        <w:rPr>
          <w:rFonts w:ascii="PMingLiU" w:eastAsia="PMingLiU" w:hint="eastAsia"/>
        </w:rPr>
        <w:t>第二十六条 </w:t>
      </w:r>
      <w:r>
        <w:rPr/>
        <w:t>国家倡导消费者使用再制造产品。鼓励政府机关、部队等公共机构在汽车维修中优先使用再制造产品。</w:t>
      </w:r>
    </w:p>
    <w:p>
      <w:pPr>
        <w:pStyle w:val="BodyText"/>
        <w:tabs>
          <w:tab w:pos="1199" w:val="left" w:leader="none"/>
        </w:tabs>
        <w:spacing w:before="50"/>
        <w:ind w:left="0" w:right="205"/>
        <w:jc w:val="center"/>
        <w:rPr>
          <w:rFonts w:ascii="PMingLiU" w:eastAsia="PMingLiU" w:hint="eastAsia"/>
        </w:rPr>
      </w:pPr>
      <w:r>
        <w:rPr>
          <w:rFonts w:ascii="PMingLiU" w:eastAsia="PMingLiU" w:hint="eastAsia"/>
        </w:rPr>
        <w:t>第七章</w:t>
        <w:tab/>
        <w:t>监督管理</w:t>
      </w:r>
    </w:p>
    <w:p>
      <w:pPr>
        <w:spacing w:after="0"/>
        <w:jc w:val="center"/>
        <w:rPr>
          <w:rFonts w:ascii="PMingLiU" w:eastAsia="PMingLiU" w:hint="eastAsia"/>
        </w:rPr>
        <w:sectPr>
          <w:pgSz w:w="11910" w:h="16840"/>
          <w:pgMar w:header="0" w:footer="990" w:top="1580" w:bottom="1180" w:left="1500" w:right="1320"/>
        </w:sectPr>
      </w:pPr>
    </w:p>
    <w:p>
      <w:pPr>
        <w:pStyle w:val="BodyText"/>
        <w:ind w:left="0"/>
        <w:rPr>
          <w:rFonts w:ascii="PMingLiU"/>
          <w:sz w:val="20"/>
        </w:rPr>
      </w:pPr>
    </w:p>
    <w:p>
      <w:pPr>
        <w:pStyle w:val="BodyText"/>
        <w:ind w:left="0"/>
        <w:rPr>
          <w:rFonts w:ascii="PMingLiU"/>
          <w:sz w:val="20"/>
        </w:rPr>
      </w:pPr>
    </w:p>
    <w:p>
      <w:pPr>
        <w:pStyle w:val="BodyText"/>
        <w:ind w:left="0"/>
        <w:rPr>
          <w:rFonts w:ascii="PMingLiU"/>
          <w:sz w:val="20"/>
        </w:rPr>
      </w:pPr>
    </w:p>
    <w:p>
      <w:pPr>
        <w:pStyle w:val="BodyText"/>
        <w:spacing w:before="11"/>
        <w:ind w:left="0"/>
        <w:rPr>
          <w:rFonts w:ascii="PMingLiU"/>
          <w:sz w:val="16"/>
        </w:rPr>
      </w:pPr>
    </w:p>
    <w:p>
      <w:pPr>
        <w:pStyle w:val="BodyText"/>
        <w:spacing w:line="357" w:lineRule="auto" w:before="70"/>
        <w:ind w:right="290" w:firstLine="600"/>
        <w:jc w:val="both"/>
      </w:pPr>
      <w:r>
        <w:rPr>
          <w:rFonts w:ascii="PMingLiU" w:eastAsia="PMingLiU" w:hint="eastAsia"/>
          <w:spacing w:val="10"/>
        </w:rPr>
        <w:t>第二十七条 </w:t>
      </w:r>
      <w:r>
        <w:rPr>
          <w:spacing w:val="-4"/>
        </w:rPr>
        <w:t>县级以上地方发展改革、工业和信息化、生态环</w:t>
      </w:r>
      <w:r>
        <w:rPr>
          <w:spacing w:val="-6"/>
        </w:rPr>
        <w:t>境、交通运输、商务、海关、市场监管、银保监等部门，在各自职</w:t>
      </w:r>
      <w:r>
        <w:rPr>
          <w:spacing w:val="-3"/>
        </w:rPr>
        <w:t>责范围内负责本行政区域内汽车零部件再制造相关管理，促进行业</w:t>
      </w:r>
      <w:r>
        <w:rPr/>
        <w:t>健康有序发展。</w:t>
      </w:r>
    </w:p>
    <w:p>
      <w:pPr>
        <w:pStyle w:val="BodyText"/>
        <w:spacing w:line="357" w:lineRule="auto" w:before="8"/>
        <w:ind w:right="295" w:firstLine="600"/>
        <w:jc w:val="both"/>
      </w:pPr>
      <w:r>
        <w:rPr>
          <w:rFonts w:ascii="PMingLiU" w:eastAsia="PMingLiU" w:hint="eastAsia"/>
          <w:spacing w:val="9"/>
        </w:rPr>
        <w:t>第二十八条 </w:t>
      </w:r>
      <w:r>
        <w:rPr>
          <w:spacing w:val="8"/>
        </w:rPr>
        <w:t>县级以上地方市场监管部门对本行政区域内汽</w:t>
      </w:r>
      <w:r>
        <w:rPr>
          <w:spacing w:val="-1"/>
        </w:rPr>
        <w:t>车零部件再制造领域的认证活动进行监督管理，对再制造领域认证</w:t>
      </w:r>
      <w:r>
        <w:rPr>
          <w:spacing w:val="-4"/>
        </w:rPr>
        <w:t>违法行为依法予以查处，依据《中华人民共和国产品质量法》有关</w:t>
      </w:r>
      <w:r>
        <w:rPr/>
        <w:t>规定对汽车零部件再制造产品质量进行监督管理。</w:t>
      </w:r>
    </w:p>
    <w:p>
      <w:pPr>
        <w:pStyle w:val="BodyText"/>
        <w:spacing w:line="336" w:lineRule="auto" w:before="9"/>
        <w:ind w:right="295" w:firstLine="600"/>
        <w:jc w:val="both"/>
      </w:pPr>
      <w:r>
        <w:rPr>
          <w:rFonts w:ascii="PMingLiU" w:hAnsi="PMingLiU" w:eastAsia="PMingLiU" w:hint="eastAsia"/>
        </w:rPr>
        <w:t>第二十九条 </w:t>
      </w:r>
      <w:r>
        <w:rPr/>
        <w:t>县级以上地方商务主管部门依据国家有关法律法规对回收拆解企业交售“五大总成”进行监督管理。</w:t>
      </w:r>
    </w:p>
    <w:p>
      <w:pPr>
        <w:pStyle w:val="BodyText"/>
        <w:spacing w:line="336" w:lineRule="auto" w:before="51"/>
        <w:ind w:right="292" w:firstLine="600"/>
        <w:jc w:val="both"/>
      </w:pPr>
      <w:r>
        <w:rPr>
          <w:rFonts w:ascii="PMingLiU" w:eastAsia="PMingLiU" w:hint="eastAsia"/>
        </w:rPr>
        <w:t>第三十条 </w:t>
      </w:r>
      <w:r>
        <w:rPr/>
        <w:t>县级以上地方交通运输管理部门对汽车维修企业使用再制造产品开展维修服务等情况进行监督管理。</w:t>
      </w:r>
    </w:p>
    <w:p>
      <w:pPr>
        <w:pStyle w:val="BodyText"/>
        <w:spacing w:line="336" w:lineRule="auto" w:before="50"/>
        <w:ind w:right="295" w:firstLine="600"/>
        <w:jc w:val="both"/>
      </w:pPr>
      <w:r>
        <w:rPr>
          <w:rFonts w:ascii="PMingLiU" w:eastAsia="PMingLiU" w:hint="eastAsia"/>
        </w:rPr>
        <w:t>第三十一条 </w:t>
      </w:r>
      <w:r>
        <w:rPr/>
        <w:t>县级以上地方生态环境部门对再制造企业生产活动的环境污染防治工作进行监督管理。</w:t>
      </w:r>
    </w:p>
    <w:p>
      <w:pPr>
        <w:pStyle w:val="BodyText"/>
        <w:spacing w:line="357" w:lineRule="auto" w:before="51"/>
        <w:ind w:right="295" w:firstLine="600"/>
        <w:jc w:val="both"/>
      </w:pPr>
      <w:r>
        <w:rPr>
          <w:rFonts w:ascii="PMingLiU" w:hAnsi="PMingLiU" w:eastAsia="PMingLiU" w:hint="eastAsia"/>
          <w:spacing w:val="10"/>
        </w:rPr>
        <w:t>第三十二条 </w:t>
      </w:r>
      <w:r>
        <w:rPr>
          <w:spacing w:val="-3"/>
        </w:rPr>
        <w:t>国务院发展改革部门和市场监管部门对“汽车零</w:t>
      </w:r>
      <w:r>
        <w:rPr>
          <w:spacing w:val="-4"/>
        </w:rPr>
        <w:t>部件再制造产品”国家标志的使用实行统一监督和管理。地方发展</w:t>
      </w:r>
      <w:r>
        <w:rPr>
          <w:spacing w:val="-5"/>
        </w:rPr>
        <w:t>改革部门、市场监管部门按照职责分工对所辖行政区域内“汽车零</w:t>
      </w:r>
      <w:r>
        <w:rPr/>
        <w:t>部件再制造产品”国家标志的使用进行监督和管理。</w:t>
      </w:r>
    </w:p>
    <w:p>
      <w:pPr>
        <w:pStyle w:val="BodyText"/>
        <w:spacing w:line="367" w:lineRule="auto" w:before="9"/>
        <w:ind w:right="268" w:firstLine="600"/>
        <w:jc w:val="both"/>
      </w:pPr>
      <w:r>
        <w:rPr/>
        <w:t>对经营者销售无再制造标识的汽车零部件再制造产品的行为， 由县级以上地方市场监管部门依据《中华人民共和国循环经济促进法》等法律法规予以查处。</w:t>
      </w:r>
    </w:p>
    <w:p>
      <w:pPr>
        <w:spacing w:after="0" w:line="367" w:lineRule="auto"/>
        <w:jc w:val="both"/>
        <w:sectPr>
          <w:pgSz w:w="11910" w:h="16840"/>
          <w:pgMar w:header="0" w:footer="990" w:top="1580" w:bottom="1180" w:left="1500" w:right="1320"/>
        </w:sectPr>
      </w:pPr>
    </w:p>
    <w:p>
      <w:pPr>
        <w:pStyle w:val="BodyText"/>
        <w:ind w:left="0"/>
        <w:rPr>
          <w:sz w:val="20"/>
        </w:rPr>
      </w:pPr>
    </w:p>
    <w:p>
      <w:pPr>
        <w:pStyle w:val="BodyText"/>
        <w:spacing w:before="12"/>
        <w:ind w:left="0"/>
        <w:rPr>
          <w:sz w:val="17"/>
        </w:rPr>
      </w:pPr>
    </w:p>
    <w:p>
      <w:pPr>
        <w:pStyle w:val="BodyText"/>
        <w:spacing w:line="336" w:lineRule="auto" w:before="69"/>
        <w:ind w:right="295" w:firstLine="600"/>
        <w:jc w:val="both"/>
      </w:pPr>
      <w:r>
        <w:rPr>
          <w:rFonts w:ascii="PMingLiU" w:eastAsia="PMingLiU" w:hint="eastAsia"/>
        </w:rPr>
        <w:t>第三十三条 </w:t>
      </w:r>
      <w:r>
        <w:rPr/>
        <w:t>国务院工业和信息化部门会同有关部门负责推广再制造领域先进适用绿色技术工艺和装备。</w:t>
      </w:r>
    </w:p>
    <w:p>
      <w:pPr>
        <w:pStyle w:val="BodyText"/>
        <w:spacing w:line="336" w:lineRule="auto" w:before="51"/>
        <w:ind w:right="295" w:firstLine="600"/>
        <w:jc w:val="both"/>
      </w:pPr>
      <w:r>
        <w:rPr>
          <w:rFonts w:ascii="PMingLiU" w:eastAsia="PMingLiU" w:hint="eastAsia"/>
        </w:rPr>
        <w:t>第三十四条 </w:t>
      </w:r>
      <w:r>
        <w:rPr/>
        <w:t>国家鼓励行业协会、科研院所、新闻媒体等开展再制造技术咨询、培训、交流、宣传等服务活动。</w:t>
      </w:r>
    </w:p>
    <w:p>
      <w:pPr>
        <w:pStyle w:val="BodyText"/>
        <w:spacing w:before="10"/>
        <w:ind w:left="0"/>
        <w:rPr>
          <w:sz w:val="49"/>
        </w:rPr>
      </w:pPr>
    </w:p>
    <w:p>
      <w:pPr>
        <w:pStyle w:val="BodyText"/>
        <w:tabs>
          <w:tab w:pos="1199" w:val="left" w:leader="none"/>
        </w:tabs>
        <w:spacing w:before="1"/>
        <w:ind w:left="0" w:right="205"/>
        <w:jc w:val="center"/>
        <w:rPr>
          <w:rFonts w:ascii="PMingLiU" w:eastAsia="PMingLiU" w:hint="eastAsia"/>
        </w:rPr>
      </w:pPr>
      <w:r>
        <w:rPr>
          <w:rFonts w:ascii="PMingLiU" w:eastAsia="PMingLiU" w:hint="eastAsia"/>
        </w:rPr>
        <w:t>第八章</w:t>
        <w:tab/>
        <w:t>附则</w:t>
      </w:r>
    </w:p>
    <w:p>
      <w:pPr>
        <w:pStyle w:val="BodyText"/>
        <w:ind w:left="0"/>
        <w:rPr>
          <w:rFonts w:ascii="PMingLiU"/>
          <w:sz w:val="34"/>
        </w:rPr>
      </w:pPr>
    </w:p>
    <w:p>
      <w:pPr>
        <w:pStyle w:val="BodyText"/>
        <w:spacing w:before="281"/>
        <w:ind w:left="715"/>
        <w:jc w:val="both"/>
      </w:pPr>
      <w:r>
        <w:rPr>
          <w:rFonts w:ascii="PMingLiU" w:eastAsia="PMingLiU" w:hint="eastAsia"/>
        </w:rPr>
        <w:t>第三十五条 </w:t>
      </w:r>
      <w:r>
        <w:rPr/>
        <w:t>本办法自公布之日起三十日后施行，有效期 </w:t>
      </w:r>
      <w:r>
        <w:rPr>
          <w:rFonts w:ascii="Times New Roman" w:eastAsia="Times New Roman"/>
        </w:rPr>
        <w:t>5 </w:t>
      </w:r>
      <w:r>
        <w:rPr/>
        <w:t>年。</w:t>
      </w:r>
    </w:p>
    <w:p>
      <w:pPr>
        <w:pStyle w:val="BodyText"/>
        <w:spacing w:line="352" w:lineRule="auto" w:before="168"/>
        <w:ind w:right="268" w:firstLine="600"/>
        <w:jc w:val="both"/>
      </w:pPr>
      <w:r>
        <w:rPr>
          <w:rFonts w:ascii="PMingLiU" w:eastAsia="PMingLiU" w:hint="eastAsia"/>
        </w:rPr>
        <w:t>第三十六条 </w:t>
      </w:r>
      <w:r>
        <w:rPr/>
        <w:t>本办法由国家发展改革委会同工业和信息化部、生态环境部、交通运输部、商务部、海关总署、市场监管总局、银保监会进行解释。</w:t>
      </w:r>
    </w:p>
    <w:sectPr>
      <w:pgSz w:w="11910" w:h="16840"/>
      <w:pgMar w:header="0" w:footer="990" w:top="1580" w:bottom="1180" w:left="15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MingLiU">
    <w:altName w:val="PMingLiU"/>
    <w:charset w:val="0"/>
    <w:family w:val="roman"/>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2.119995pt;margin-top:781.409912pt;width:11.05pt;height:17.6pt;mso-position-horizontal-relative:page;mso-position-vertical-relative:page;z-index:-251802624" type="#_x0000_t202" filled="false" stroked="false">
          <v:textbox inset="0,0,0,0">
            <w:txbxContent>
              <w:p>
                <w:pPr>
                  <w:spacing w:before="9"/>
                  <w:ind w:left="40" w:right="0" w:firstLine="0"/>
                  <w:jc w:val="left"/>
                  <w:rPr>
                    <w:rFonts w:ascii="Times New Roman"/>
                    <w:sz w:val="28"/>
                  </w:rPr>
                </w:pPr>
                <w:r>
                  <w:rPr/>
                  <w:fldChar w:fldCharType="begin"/>
                </w:r>
                <w:r>
                  <w:rPr>
                    <w:rFonts w:ascii="Times New Roman"/>
                    <w:w w:val="100"/>
                    <w:sz w:val="28"/>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5"/>
    </w:pPr>
    <w:rPr>
      <w:rFonts w:ascii="宋体" w:hAnsi="宋体" w:eastAsia="宋体" w:cs="宋体"/>
      <w:sz w:val="30"/>
      <w:szCs w:val="30"/>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2021-04-26T07:58:41Z</dcterms:created>
  <dcterms:modified xsi:type="dcterms:W3CDTF">2021-04-26T07:58:41Z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WPS 文字</vt:lpwstr>
  </property>
  <property fmtid="{D5CDD505-2E9C-101B-9397-08002B2CF9AE}" pid="4" name="LastSaved">
    <vt:filetime>2021-04-26T00:00:00Z</vt:filetime>
  </property>
</Properties>
</file>